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CB44" w14:textId="5AA7E5BD" w:rsidR="005E76D8" w:rsidRPr="0006243D" w:rsidRDefault="0006243D" w:rsidP="0006243D">
      <w:pPr>
        <w:jc w:val="center"/>
        <w:rPr>
          <w:b/>
          <w:bCs/>
          <w:sz w:val="28"/>
          <w:szCs w:val="28"/>
        </w:rPr>
      </w:pPr>
      <w:r w:rsidRPr="0006243D">
        <w:rPr>
          <w:b/>
          <w:bCs/>
          <w:sz w:val="28"/>
          <w:szCs w:val="28"/>
        </w:rPr>
        <w:t>202</w:t>
      </w:r>
      <w:r w:rsidR="00E8425A">
        <w:rPr>
          <w:b/>
          <w:bCs/>
          <w:sz w:val="28"/>
          <w:szCs w:val="28"/>
        </w:rPr>
        <w:t>5</w:t>
      </w:r>
      <w:r w:rsidRPr="0006243D">
        <w:rPr>
          <w:b/>
          <w:bCs/>
          <w:sz w:val="28"/>
          <w:szCs w:val="28"/>
        </w:rPr>
        <w:t xml:space="preserve"> </w:t>
      </w:r>
      <w:proofErr w:type="gramStart"/>
      <w:r w:rsidRPr="0006243D">
        <w:rPr>
          <w:b/>
          <w:bCs/>
          <w:sz w:val="28"/>
          <w:szCs w:val="28"/>
        </w:rPr>
        <w:t>Low and Moderate Income</w:t>
      </w:r>
      <w:proofErr w:type="gramEnd"/>
      <w:r w:rsidRPr="0006243D">
        <w:rPr>
          <w:b/>
          <w:bCs/>
          <w:sz w:val="28"/>
          <w:szCs w:val="28"/>
        </w:rPr>
        <w:t xml:space="preserve"> Housing Capitalization Rate</w:t>
      </w:r>
    </w:p>
    <w:p w14:paraId="7C09B24C" w14:textId="1B0A07AC" w:rsidR="0006243D" w:rsidRDefault="0006243D" w:rsidP="0006243D">
      <w:pPr>
        <w:jc w:val="center"/>
      </w:pPr>
    </w:p>
    <w:p w14:paraId="6AD500E9" w14:textId="1643BDDA" w:rsidR="0006243D" w:rsidRDefault="0006243D" w:rsidP="0006243D">
      <w:r>
        <w:t>Pursuant to Sec. 11.1825 (d) of the Texas Property Tax Code, the Trinity County Appraisal District gives public notice of the capitalization rate to be used for the tax year 202</w:t>
      </w:r>
      <w:r w:rsidR="00E8425A">
        <w:t>5</w:t>
      </w:r>
      <w:r>
        <w:t xml:space="preserve"> to value properties receiving exemptions under this section. Rent restricted properties vary widely. These variations can have an effect of the valuation of the property. Basic capitalization rates ranging from 8.5 to 12.5% will be used to value these properties; although adjustments may be made based on the individual property characteristics and the information provided to the chief appraiser as required under Sections 11.182 (d) and (g) of the Property Tax Code.</w:t>
      </w:r>
    </w:p>
    <w:sectPr w:rsidR="00062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3D"/>
    <w:rsid w:val="0006243D"/>
    <w:rsid w:val="00415EC1"/>
    <w:rsid w:val="005E76D8"/>
    <w:rsid w:val="00665F22"/>
    <w:rsid w:val="00921FE5"/>
    <w:rsid w:val="00D63613"/>
    <w:rsid w:val="00E8425A"/>
    <w:rsid w:val="00FB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FC09"/>
  <w15:chartTrackingRefBased/>
  <w15:docId w15:val="{DED694F3-1BF7-465C-90C2-733544D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Wars</dc:creator>
  <cp:keywords/>
  <dc:description/>
  <cp:lastModifiedBy>James C. Wars</cp:lastModifiedBy>
  <cp:revision>2</cp:revision>
  <cp:lastPrinted>2021-02-01T22:21:00Z</cp:lastPrinted>
  <dcterms:created xsi:type="dcterms:W3CDTF">2025-11-21T19:28:00Z</dcterms:created>
  <dcterms:modified xsi:type="dcterms:W3CDTF">2025-11-21T19:28:00Z</dcterms:modified>
</cp:coreProperties>
</file>